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A890" w14:textId="1787F0B3" w:rsidR="00A17B3E" w:rsidRDefault="00A17B3E" w:rsidP="00AF0114">
      <w:pPr>
        <w:widowControl/>
        <w:spacing w:after="120" w:line="360" w:lineRule="auto"/>
        <w:ind w:left="6237"/>
        <w:jc w:val="right"/>
        <w:rPr>
          <w:rFonts w:cs="Times New Roman"/>
          <w:lang w:val="pl"/>
        </w:rPr>
      </w:pPr>
      <w:bookmarkStart w:id="0" w:name="_GoBack"/>
      <w:bookmarkEnd w:id="0"/>
      <w:r>
        <w:rPr>
          <w:rFonts w:cs="Times New Roman"/>
          <w:lang w:val="pl"/>
        </w:rPr>
        <w:t>Z</w:t>
      </w:r>
      <w:r w:rsidRPr="007E63EF">
        <w:rPr>
          <w:rFonts w:cs="Times New Roman"/>
          <w:lang w:val="pl"/>
        </w:rPr>
        <w:t xml:space="preserve">ałącznik nr </w:t>
      </w:r>
      <w:r>
        <w:rPr>
          <w:rFonts w:cs="Times New Roman"/>
          <w:lang w:val="pl"/>
        </w:rPr>
        <w:t>1</w:t>
      </w:r>
    </w:p>
    <w:p w14:paraId="68E88476" w14:textId="77777777" w:rsidR="00A17B3E" w:rsidRPr="00FF6644" w:rsidRDefault="00A17B3E" w:rsidP="00A17B3E">
      <w:pPr>
        <w:widowControl/>
        <w:spacing w:after="120"/>
        <w:jc w:val="center"/>
        <w:rPr>
          <w:rFonts w:cs="Times New Roman"/>
          <w:b/>
          <w:bCs/>
          <w:lang w:val="pl"/>
        </w:rPr>
      </w:pPr>
      <w:r w:rsidRPr="00FF6644">
        <w:rPr>
          <w:rFonts w:cs="Times New Roman"/>
          <w:b/>
          <w:bCs/>
          <w:lang w:val="pl"/>
        </w:rPr>
        <w:t>OPIS PRZEDMIOTU ZAMÓWIENIA</w:t>
      </w:r>
    </w:p>
    <w:p w14:paraId="3B2E8F4A" w14:textId="77777777" w:rsidR="00A17B3E" w:rsidRPr="00FF6644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 w:rsidRPr="00FF6644">
        <w:rPr>
          <w:rFonts w:cs="Times New Roman"/>
          <w:b/>
          <w:bCs/>
        </w:rPr>
        <w:t>Nazwa przedmiotu zamówienia</w:t>
      </w:r>
    </w:p>
    <w:p w14:paraId="043BDD5B" w14:textId="4B16EC94" w:rsidR="00A17B3E" w:rsidRDefault="00AF0114" w:rsidP="00A17B3E">
      <w:pPr>
        <w:widowControl/>
        <w:spacing w:line="276" w:lineRule="auto"/>
        <w:ind w:left="357"/>
        <w:jc w:val="both"/>
        <w:rPr>
          <w:rFonts w:cs="Times New Roman"/>
        </w:rPr>
      </w:pPr>
      <w:r>
        <w:rPr>
          <w:rFonts w:cs="Times New Roman"/>
        </w:rPr>
        <w:t>W</w:t>
      </w:r>
      <w:r w:rsidRPr="00AF0114">
        <w:rPr>
          <w:rFonts w:cs="Times New Roman"/>
        </w:rPr>
        <w:t xml:space="preserve">ykonanie prac </w:t>
      </w:r>
      <w:r w:rsidR="004E17CE">
        <w:rPr>
          <w:rFonts w:cs="Times New Roman"/>
        </w:rPr>
        <w:t>konserwatorskich</w:t>
      </w:r>
      <w:r w:rsidRPr="00AF0114">
        <w:rPr>
          <w:rFonts w:cs="Times New Roman"/>
        </w:rPr>
        <w:t xml:space="preserve"> karawanu z Wiślicy ze zbiorów Muzeum Wsi Kieleckiej wraz z transportem i ubezpieczeniem obiektów na czas transportu do i z pracowni oraz w trakcie prac konserwatorskich</w:t>
      </w:r>
    </w:p>
    <w:p w14:paraId="07A7ACE0" w14:textId="77777777" w:rsidR="00A17B3E" w:rsidRPr="00FF6644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Opis przedmiotu zamówienia</w:t>
      </w:r>
    </w:p>
    <w:p w14:paraId="469FC56C" w14:textId="1FB29C84" w:rsidR="00A17B3E" w:rsidRPr="00C73331" w:rsidRDefault="00685A92" w:rsidP="00D166F7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Arial"/>
          <w:color w:val="000000"/>
          <w:lang w:val="pl"/>
        </w:rPr>
        <w:t>W</w:t>
      </w:r>
      <w:r w:rsidR="00D166F7" w:rsidRPr="00D166F7">
        <w:rPr>
          <w:rFonts w:cs="Arial"/>
          <w:color w:val="000000"/>
          <w:lang w:val="pl"/>
        </w:rPr>
        <w:t xml:space="preserve">ykonanie prac </w:t>
      </w:r>
      <w:r w:rsidR="004E17CE">
        <w:rPr>
          <w:rFonts w:cs="Arial"/>
          <w:color w:val="000000"/>
          <w:lang w:val="pl"/>
        </w:rPr>
        <w:t>konserwatorskich</w:t>
      </w:r>
      <w:r w:rsidR="00D166F7" w:rsidRPr="00D166F7">
        <w:rPr>
          <w:rFonts w:cs="Arial"/>
          <w:color w:val="000000"/>
          <w:lang w:val="pl"/>
        </w:rPr>
        <w:t xml:space="preserve"> karawanu z Wiślicy ze zbiorów Muzeum Wsi Kieleckiej wraz z transportem i ubezpieczeniem obiektów na czas transportu do i z pracowni oraz w trakcie prac konserwatorskich.</w:t>
      </w:r>
      <w:r w:rsidR="00D166F7">
        <w:rPr>
          <w:rFonts w:cs="Arial"/>
          <w:color w:val="000000"/>
          <w:lang w:val="pl"/>
        </w:rPr>
        <w:t xml:space="preserve"> </w:t>
      </w:r>
      <w:r w:rsidR="00D166F7" w:rsidRPr="00D166F7">
        <w:rPr>
          <w:rFonts w:cs="Arial"/>
          <w:color w:val="000000"/>
          <w:lang w:val="pl"/>
        </w:rPr>
        <w:t>Obiekt znajduje się w złym bądź bardzo złym stanie technicznym. Celem prac konserwatorskich będzie zahamowanie procesu niszczenia obiektu i przywrócenie mu wartości, użytkowych, artystycznych i estetycznych.</w:t>
      </w:r>
    </w:p>
    <w:p w14:paraId="1BF187ED" w14:textId="691F52B4" w:rsidR="00A17B3E" w:rsidRPr="008256A6" w:rsidRDefault="00A17B3E" w:rsidP="00AF0114">
      <w:pPr>
        <w:numPr>
          <w:ilvl w:val="0"/>
          <w:numId w:val="3"/>
        </w:numPr>
        <w:suppressAutoHyphens/>
        <w:spacing w:line="259" w:lineRule="auto"/>
        <w:ind w:left="714" w:hanging="357"/>
        <w:jc w:val="both"/>
        <w:rPr>
          <w:rFonts w:cs="Arial"/>
          <w:b/>
          <w:bCs/>
          <w:iCs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Zakres zamówienia obejmuje w szczególności:</w:t>
      </w:r>
    </w:p>
    <w:p w14:paraId="1BF85C0D" w14:textId="6A56E2E7" w:rsidR="00A17B3E" w:rsidRDefault="008A68F7" w:rsidP="00A17B3E">
      <w:pPr>
        <w:pStyle w:val="Default"/>
        <w:numPr>
          <w:ilvl w:val="3"/>
          <w:numId w:val="1"/>
        </w:numPr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Wykonanie prac konserwatorskich zgodnie z określonym programem:</w:t>
      </w:r>
    </w:p>
    <w:p w14:paraId="579892CD" w14:textId="09276E8A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Przeprowadzenie badań historyczno–archiwalnych dotyczących karawanu</w:t>
      </w:r>
    </w:p>
    <w:p w14:paraId="1344AB13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Wykonanie dokumentacji fotograficznej części składowych karawanu nadwozia – skrzyni oraz podwozia.</w:t>
      </w:r>
    </w:p>
    <w:p w14:paraId="4C63C142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Wstępne oczyszczenie powierzchni karawanu z zalegającej warstwy kurzu, usunięcie luźnych zanieczyszczeń z profili dekoracji snycerskiej, tkanin, podwozia, itp.</w:t>
      </w:r>
    </w:p>
    <w:p w14:paraId="29F9D426" w14:textId="44172A0D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Demontaż części ruchomych karawanu (tj. nadwozie, podwozie oraz innych elementów składowych np. tkanin, szyb, części dekoracji snycerskiej).</w:t>
      </w:r>
    </w:p>
    <w:p w14:paraId="704C811B" w14:textId="7BA2660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Rozdzielenie poszczególnych łączeń stolarskich, usunięcie skorodowanych gwoździ, elementów z wtórnych napraw.</w:t>
      </w:r>
    </w:p>
    <w:p w14:paraId="4201D7B4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Inwentaryzacja zdemontowanych elementów i rozpoznanie ich budowy technicznej.</w:t>
      </w:r>
    </w:p>
    <w:p w14:paraId="5BBCE7A2" w14:textId="427E473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Dezynsekcja i dezynfekcja elementów drewnianych.</w:t>
      </w:r>
    </w:p>
    <w:p w14:paraId="790F2A7C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Pobranie próbek do badań technologicznych w celu ustalenia stratygrafii warstw malarskich na powierzchni nadwozia oraz podwozia ( opracowanie metody usuwania nawarstwień ).</w:t>
      </w:r>
    </w:p>
    <w:p w14:paraId="55DDC1D2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Usunięcie wtórnych przemalowań ( mechaniczne i chemiczne ).</w:t>
      </w:r>
    </w:p>
    <w:p w14:paraId="376168FC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Oczyszczenie, wzmocnienie i podklejenie odspojeń odsłoniętej oryginalnej warstwy malarskiej i ewentualnych złoceń lub srebrzeń.</w:t>
      </w:r>
    </w:p>
    <w:p w14:paraId="2F056144" w14:textId="44A598D6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Impregnacja strukturalna osłabionych elementów drewnianych (impregnacja przez iniekcję, podciąganie kapilarne lub pędzlowanie ).</w:t>
      </w:r>
    </w:p>
    <w:p w14:paraId="7C713FBF" w14:textId="24ABE4E5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Wykonanie uzupełnień elementów drewnianych, kitowanie, flekowanie, doróbki snycerskie formy jeśli zajdzie taka potrzeba a także wzmocnienie odwróci poszczególnych elementów drewnianych.</w:t>
      </w:r>
    </w:p>
    <w:p w14:paraId="1FA77E9F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Wykonanie rekonstrukcji zapraw na elementach snycerki pod farbę.</w:t>
      </w:r>
    </w:p>
    <w:p w14:paraId="77B15387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Izolacja powierzchni kitów w partii malatury.</w:t>
      </w:r>
    </w:p>
    <w:p w14:paraId="68DE63F7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Wykonanie podkładów pod ewentualne złocenia lub srebrzenia.</w:t>
      </w:r>
    </w:p>
    <w:p w14:paraId="36ADF9BC" w14:textId="50704818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Uzupełnienie ewentualnych złoceń lub srebrzeń,  rekonstrukcja w partiach gdzie się nie zachowały zgodnie z techniką wykonania oryginału, uzupełnianie lub rekonstrukcja np. pulmentów, scalanie złoceń. Złocenia lub srebrzenia zostaną wykonane materiałem zidentyfikowanym po przeprowadzeniu badań technologicznych. Jakość materiału oraz technika wykonania (</w:t>
      </w:r>
      <w:r>
        <w:rPr>
          <w:rFonts w:ascii="Arial Narrow" w:hAnsi="Arial Narrow"/>
          <w:sz w:val="22"/>
          <w:szCs w:val="22"/>
        </w:rPr>
        <w:t>n</w:t>
      </w:r>
      <w:r w:rsidRPr="00D166F7">
        <w:rPr>
          <w:rFonts w:ascii="Arial Narrow" w:hAnsi="Arial Narrow"/>
          <w:sz w:val="22"/>
          <w:szCs w:val="22"/>
        </w:rPr>
        <w:t>p. poler lub mat) zostanie uzgodniona w trakcie komisji konserwatorskich prowadzonych systematycznie w trakcie prowadzonych prac. W przypadku odkrycia innych warstw malarskich należy ustalić z komisją konserwatorską ich wygląd.</w:t>
      </w:r>
    </w:p>
    <w:p w14:paraId="4B527691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 xml:space="preserve">Położenie werniksu retuszerskiego w partiach malatury przed przystąpieniem do miejscowego punktowania i miejscowej rekonstrukcji.  </w:t>
      </w:r>
    </w:p>
    <w:p w14:paraId="359B6747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Uzupełnienie warstwy malatury przez punktowanie metodą scalającą w technice ustalonej podczas badań.</w:t>
      </w:r>
    </w:p>
    <w:p w14:paraId="25D5D707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Położenie warstwy zabezpieczającej np. werniksu na partie pokryte warstwą malarską.</w:t>
      </w:r>
    </w:p>
    <w:p w14:paraId="17A6DEEB" w14:textId="2496CC28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Konserwacja mosiężnych elementów poręczy znajdujących</w:t>
      </w:r>
      <w:r>
        <w:rPr>
          <w:rFonts w:ascii="Arial Narrow" w:hAnsi="Arial Narrow"/>
          <w:sz w:val="22"/>
          <w:szCs w:val="22"/>
        </w:rPr>
        <w:t xml:space="preserve"> się przy kole pojazdu (</w:t>
      </w:r>
      <w:r w:rsidRPr="00D166F7">
        <w:rPr>
          <w:rFonts w:ascii="Arial Narrow" w:hAnsi="Arial Narrow"/>
          <w:sz w:val="22"/>
          <w:szCs w:val="22"/>
        </w:rPr>
        <w:t>oczyszczenie, konserwacja a także zabezpieczenie</w:t>
      </w:r>
      <w:r>
        <w:rPr>
          <w:rFonts w:ascii="Arial Narrow" w:hAnsi="Arial Narrow"/>
          <w:sz w:val="22"/>
          <w:szCs w:val="22"/>
        </w:rPr>
        <w:t xml:space="preserve"> z uwzględnieniem wyników badań</w:t>
      </w:r>
      <w:r w:rsidRPr="00D166F7">
        <w:rPr>
          <w:rFonts w:ascii="Arial Narrow" w:hAnsi="Arial Narrow"/>
          <w:sz w:val="22"/>
          <w:szCs w:val="22"/>
        </w:rPr>
        <w:t>).</w:t>
      </w:r>
    </w:p>
    <w:p w14:paraId="77C299C3" w14:textId="50FCAAEF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lastRenderedPageBreak/>
        <w:t>Konserwacja oraz rekonstrukcja materiału wyścielającego siedzisko dla woźnicy o</w:t>
      </w:r>
      <w:r>
        <w:rPr>
          <w:rFonts w:ascii="Arial Narrow" w:hAnsi="Arial Narrow"/>
          <w:sz w:val="22"/>
          <w:szCs w:val="22"/>
        </w:rPr>
        <w:t>raz wnętrze nadwozia karawanu (</w:t>
      </w:r>
      <w:r w:rsidRPr="00D166F7">
        <w:rPr>
          <w:rFonts w:ascii="Arial Narrow" w:hAnsi="Arial Narrow"/>
          <w:sz w:val="22"/>
          <w:szCs w:val="22"/>
        </w:rPr>
        <w:t>czarny aksamit, ozdobne frędzle).</w:t>
      </w:r>
    </w:p>
    <w:p w14:paraId="7F91B71C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Rekonstrukcja brakujących szyb w nadwoziu.</w:t>
      </w:r>
    </w:p>
    <w:p w14:paraId="142AB552" w14:textId="0098A5EB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Konserwacja oraz uruchomienie mechanicznych elementów zna</w:t>
      </w:r>
      <w:r>
        <w:rPr>
          <w:rFonts w:ascii="Arial Narrow" w:hAnsi="Arial Narrow"/>
          <w:sz w:val="22"/>
          <w:szCs w:val="22"/>
        </w:rPr>
        <w:t>jdujących się w pudle pojazdu (</w:t>
      </w:r>
      <w:r w:rsidRPr="00D166F7">
        <w:rPr>
          <w:rFonts w:ascii="Arial Narrow" w:hAnsi="Arial Narrow"/>
          <w:sz w:val="22"/>
          <w:szCs w:val="22"/>
        </w:rPr>
        <w:t>metalowy uchwyt, obrotowy zamek oraz wózek wewnątrz skrzyni).</w:t>
      </w:r>
    </w:p>
    <w:p w14:paraId="457ABFEA" w14:textId="27CC351F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Konserwacja stalowych uchwytów do latarń oraz elementów kutych z tyłu pojazdu (konserwacja oraz zabezpieczenie metalu z uwzględnieniem wyników badań).</w:t>
      </w:r>
    </w:p>
    <w:p w14:paraId="11214588" w14:textId="3E93ABF5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Wstępne oczyszczenie powierzchni podwozia z zalegającej warstwy kurzu, usunięcie luźnych zanieczyszczeń.</w:t>
      </w:r>
    </w:p>
    <w:p w14:paraId="44753DDC" w14:textId="2965A5D4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Demontaż części ruchomych podwozia ( sworzni, kół, resorów, osi, zawieszenia, dyszla itp.).</w:t>
      </w:r>
    </w:p>
    <w:p w14:paraId="60D2F763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Rozdzielenie poszczególnych łączeń, usunięcie skorodowanych elementów, ewentualne usunięcie wtórnych napraw części jezdnych podwozia.</w:t>
      </w:r>
    </w:p>
    <w:p w14:paraId="18698256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Inwentaryzacja poszczególnych elementów i rozpoznanie ich budowy technologicznej.</w:t>
      </w:r>
    </w:p>
    <w:p w14:paraId="22B9C9E7" w14:textId="177FFD48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Usunięcie wtórnych przemalowań i nawarstwień (chemiczne oraz mechaniczne).</w:t>
      </w:r>
    </w:p>
    <w:p w14:paraId="4C836049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Oczyszczenie, wzmocnienie i podklejenie odspojeń odsłoniętej, oryginalnej warstwy malarskiej.</w:t>
      </w:r>
    </w:p>
    <w:p w14:paraId="6711A14A" w14:textId="39F0D1B4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Konserwacja skórzanych pa</w:t>
      </w:r>
      <w:r>
        <w:rPr>
          <w:rFonts w:ascii="Arial Narrow" w:hAnsi="Arial Narrow"/>
          <w:sz w:val="22"/>
          <w:szCs w:val="22"/>
        </w:rPr>
        <w:t>sów umieszczonych przy dyszlu (</w:t>
      </w:r>
      <w:r w:rsidRPr="00D166F7">
        <w:rPr>
          <w:rFonts w:ascii="Arial Narrow" w:hAnsi="Arial Narrow"/>
          <w:sz w:val="22"/>
          <w:szCs w:val="22"/>
        </w:rPr>
        <w:t>oczyszczenie, ewentualne szycie, podklejanie, zabezpieczenie, ewentualna wymiana zniszczonej skóry).</w:t>
      </w:r>
    </w:p>
    <w:p w14:paraId="2A658CBE" w14:textId="11F46ABE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Naprawa mechanizmu zaprzęgowego (sworzni, kół, resorów, osi, zawieszenia, dyszla itp.) spawanie, ewentualna rekonstrukcja brakujących elementów, usunięcie oraz zabezpieczenie ognisk korozji.</w:t>
      </w:r>
    </w:p>
    <w:p w14:paraId="14D52E57" w14:textId="40FA144A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 xml:space="preserve">Naprawa </w:t>
      </w:r>
      <w:r>
        <w:rPr>
          <w:rFonts w:ascii="Arial Narrow" w:hAnsi="Arial Narrow"/>
          <w:sz w:val="22"/>
          <w:szCs w:val="22"/>
        </w:rPr>
        <w:t>i konserwacja drewnianych kół (</w:t>
      </w:r>
      <w:r w:rsidRPr="00D166F7">
        <w:rPr>
          <w:rFonts w:ascii="Arial Narrow" w:hAnsi="Arial Narrow"/>
          <w:sz w:val="22"/>
          <w:szCs w:val="22"/>
        </w:rPr>
        <w:t>oczyszczenie, flekowanie, kitowanie, zabezpieczenie i rekonstrukcja brakujących elementów z uwzględnieniem wyników badań).</w:t>
      </w:r>
    </w:p>
    <w:p w14:paraId="515F86DD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Wykonanie rekonstrukcji zapraw na elementach metalowych.</w:t>
      </w:r>
    </w:p>
    <w:p w14:paraId="58C59C28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Izolacja powierzchni zapraw.</w:t>
      </w:r>
    </w:p>
    <w:p w14:paraId="30049C80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Uzupełnienie warstwy malarskiej na powierzchni podwozia.</w:t>
      </w:r>
    </w:p>
    <w:p w14:paraId="3BF4988B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Zabezpieczenie warstwy malarskiej.</w:t>
      </w:r>
    </w:p>
    <w:p w14:paraId="318CCF42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Montaż podwozia.</w:t>
      </w:r>
    </w:p>
    <w:p w14:paraId="01F7EAC0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Montaż obiektu, podwozia i nadwozia.</w:t>
      </w:r>
    </w:p>
    <w:p w14:paraId="1EF57E13" w14:textId="77777777" w:rsidR="00D166F7" w:rsidRPr="00D166F7" w:rsidRDefault="00D166F7" w:rsidP="00D166F7">
      <w:pPr>
        <w:pStyle w:val="Standard"/>
        <w:numPr>
          <w:ilvl w:val="0"/>
          <w:numId w:val="6"/>
        </w:numPr>
        <w:tabs>
          <w:tab w:val="left" w:pos="1643"/>
        </w:tabs>
        <w:ind w:left="1418"/>
        <w:rPr>
          <w:rFonts w:ascii="Arial Narrow" w:hAnsi="Arial Narrow"/>
          <w:sz w:val="22"/>
          <w:szCs w:val="22"/>
        </w:rPr>
      </w:pPr>
      <w:r w:rsidRPr="00D166F7">
        <w:rPr>
          <w:rFonts w:ascii="Arial Narrow" w:hAnsi="Arial Narrow"/>
          <w:sz w:val="22"/>
          <w:szCs w:val="22"/>
        </w:rPr>
        <w:t>Wykonanie dokumentacji konserwatorskiej karawanu z uwzględnieniem poszczególnych etapów prac oraz załączenie do niej wyników badań technologicznych.</w:t>
      </w:r>
    </w:p>
    <w:p w14:paraId="42530CF6" w14:textId="77777777" w:rsidR="00E24CF9" w:rsidRDefault="00E24CF9" w:rsidP="00E24CF9">
      <w:pPr>
        <w:pStyle w:val="Default"/>
        <w:ind w:left="1071"/>
        <w:jc w:val="both"/>
        <w:rPr>
          <w:sz w:val="22"/>
          <w:szCs w:val="22"/>
        </w:rPr>
      </w:pPr>
    </w:p>
    <w:p w14:paraId="5A5702F9" w14:textId="70A1E67D" w:rsidR="00E24CF9" w:rsidRDefault="00E24CF9" w:rsidP="00E24CF9">
      <w:pPr>
        <w:pStyle w:val="Default"/>
        <w:ind w:left="1071"/>
        <w:jc w:val="both"/>
        <w:rPr>
          <w:sz w:val="22"/>
          <w:szCs w:val="22"/>
        </w:rPr>
      </w:pPr>
      <w:r w:rsidRPr="00E24CF9">
        <w:rPr>
          <w:sz w:val="22"/>
          <w:szCs w:val="22"/>
        </w:rPr>
        <w:t xml:space="preserve">Wszystkie etapy prac prowadzone będą w uzgodnieniu z komisją konserwatorską powołaną </w:t>
      </w:r>
      <w:r w:rsidR="00104ECC">
        <w:rPr>
          <w:sz w:val="22"/>
          <w:szCs w:val="22"/>
        </w:rPr>
        <w:br/>
      </w:r>
      <w:r w:rsidRPr="00E24CF9">
        <w:rPr>
          <w:sz w:val="22"/>
          <w:szCs w:val="22"/>
        </w:rPr>
        <w:t>z</w:t>
      </w:r>
      <w:r w:rsidR="00104ECC">
        <w:rPr>
          <w:sz w:val="22"/>
          <w:szCs w:val="22"/>
        </w:rPr>
        <w:t xml:space="preserve"> grona</w:t>
      </w:r>
      <w:r w:rsidRPr="00E24CF9">
        <w:rPr>
          <w:sz w:val="22"/>
          <w:szCs w:val="22"/>
        </w:rPr>
        <w:t xml:space="preserve"> pracowników MWK.</w:t>
      </w:r>
      <w:r w:rsidRPr="00E24CF9">
        <w:rPr>
          <w:sz w:val="22"/>
          <w:szCs w:val="22"/>
        </w:rPr>
        <w:cr/>
      </w:r>
    </w:p>
    <w:p w14:paraId="4177E361" w14:textId="2E59CF17" w:rsidR="008A68F7" w:rsidRDefault="008A68F7" w:rsidP="00E24CF9">
      <w:pPr>
        <w:pStyle w:val="Default"/>
        <w:numPr>
          <w:ilvl w:val="3"/>
          <w:numId w:val="1"/>
        </w:num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Transport obiektu do pracowni Wykonawcy oraz retransport po zakończonych pracach konserwatorskich.</w:t>
      </w:r>
    </w:p>
    <w:p w14:paraId="69FB8776" w14:textId="14906FCF" w:rsidR="00A17B3E" w:rsidRPr="008A68F7" w:rsidRDefault="008A68F7" w:rsidP="00E24CF9">
      <w:pPr>
        <w:pStyle w:val="Default"/>
        <w:numPr>
          <w:ilvl w:val="3"/>
          <w:numId w:val="1"/>
        </w:num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Ubezpieczenie eksponatów na czas transportu, wykonania prac konserwatorskich oraz retransportu obiektu</w:t>
      </w:r>
      <w:r w:rsidR="00A17B3E" w:rsidRPr="008A68F7">
        <w:rPr>
          <w:sz w:val="22"/>
          <w:szCs w:val="22"/>
        </w:rPr>
        <w:t xml:space="preserve">. </w:t>
      </w:r>
    </w:p>
    <w:p w14:paraId="20B3EBA0" w14:textId="683D3AD6" w:rsidR="00A17B3E" w:rsidRPr="00E24CF9" w:rsidRDefault="00D166F7" w:rsidP="00A17B3E">
      <w:pPr>
        <w:widowControl/>
        <w:numPr>
          <w:ilvl w:val="0"/>
          <w:numId w:val="3"/>
        </w:numPr>
        <w:spacing w:line="276" w:lineRule="auto"/>
        <w:jc w:val="both"/>
        <w:rPr>
          <w:rFonts w:cs="Times New Roman"/>
          <w:b/>
        </w:rPr>
      </w:pPr>
      <w:r>
        <w:rPr>
          <w:rFonts w:cs="Arial"/>
        </w:rPr>
        <w:t xml:space="preserve">Prace konserwatorskie winny być zrealizowane w okresie od </w:t>
      </w:r>
      <w:r w:rsidRPr="00E24CF9">
        <w:rPr>
          <w:rFonts w:cs="Arial"/>
          <w:b/>
        </w:rPr>
        <w:t>1 czerwca 2024</w:t>
      </w:r>
      <w:r w:rsidR="00E24CF9">
        <w:rPr>
          <w:rFonts w:cs="Arial"/>
        </w:rPr>
        <w:t xml:space="preserve"> r.</w:t>
      </w:r>
      <w:r>
        <w:rPr>
          <w:rFonts w:cs="Arial"/>
        </w:rPr>
        <w:t xml:space="preserve"> do </w:t>
      </w:r>
      <w:r w:rsidRPr="00E24CF9">
        <w:rPr>
          <w:rFonts w:cs="Arial"/>
          <w:b/>
        </w:rPr>
        <w:t>15 grudnia 2024 r</w:t>
      </w:r>
      <w:r w:rsidR="00A17B3E" w:rsidRPr="00E24CF9">
        <w:rPr>
          <w:rFonts w:cs="Times New Roman"/>
          <w:b/>
        </w:rPr>
        <w:t>.</w:t>
      </w:r>
    </w:p>
    <w:p w14:paraId="008422F1" w14:textId="77777777" w:rsidR="00E24CF9" w:rsidRPr="00FF6644" w:rsidRDefault="00E24CF9" w:rsidP="00E24CF9">
      <w:pPr>
        <w:widowControl/>
        <w:spacing w:line="276" w:lineRule="auto"/>
        <w:ind w:left="720"/>
        <w:jc w:val="both"/>
        <w:rPr>
          <w:rFonts w:cs="Times New Roman"/>
        </w:rPr>
      </w:pPr>
    </w:p>
    <w:p w14:paraId="31631A3D" w14:textId="210AB23F" w:rsidR="00A17B3E" w:rsidRPr="00FF6644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Lokalizacja docelowa posadowienia obiekt</w:t>
      </w:r>
      <w:r w:rsidR="00E24CF9">
        <w:rPr>
          <w:rFonts w:cs="Times New Roman"/>
          <w:b/>
          <w:bCs/>
        </w:rPr>
        <w:t>u</w:t>
      </w:r>
    </w:p>
    <w:p w14:paraId="41F26A14" w14:textId="6EB74812" w:rsidR="00A17B3E" w:rsidRDefault="00A17B3E" w:rsidP="005F5E2F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 xml:space="preserve">Obszar Parku Etnograficznego w Tokarni </w:t>
      </w:r>
      <w:r>
        <w:rPr>
          <w:rFonts w:cs="Times New Roman"/>
        </w:rPr>
        <w:t xml:space="preserve">- </w:t>
      </w:r>
      <w:r w:rsidRPr="00FF6644">
        <w:rPr>
          <w:rFonts w:cs="Times New Roman"/>
        </w:rPr>
        <w:t>wpisany jest do rejestru Świętokrzyskiego Wojewódzkiego Konserwatora Zabytków pod numerem A.269 z 17.07.1995 r.</w:t>
      </w:r>
      <w:r w:rsidR="005F5E2F">
        <w:rPr>
          <w:rFonts w:cs="Times New Roman"/>
        </w:rPr>
        <w:t xml:space="preserve"> </w:t>
      </w:r>
      <w:r w:rsidR="005F5E2F" w:rsidRPr="005F5E2F">
        <w:rPr>
          <w:rFonts w:cs="Times New Roman"/>
        </w:rPr>
        <w:t>Tokarnia, ul. Krakowska 109</w:t>
      </w:r>
      <w:r w:rsidR="005F5E2F">
        <w:rPr>
          <w:rFonts w:cs="Times New Roman"/>
        </w:rPr>
        <w:t xml:space="preserve">, </w:t>
      </w:r>
      <w:r w:rsidR="005F5E2F" w:rsidRPr="005F5E2F">
        <w:rPr>
          <w:rFonts w:cs="Times New Roman"/>
        </w:rPr>
        <w:t>26-060 Chęciny</w:t>
      </w:r>
      <w:r w:rsidR="00854157">
        <w:rPr>
          <w:rFonts w:cs="Times New Roman"/>
        </w:rPr>
        <w:t xml:space="preserve">. Karawan stanowił będzie element wystawy pojazdów zabytkowych prezentowanych w Stodole Dworskiej </w:t>
      </w:r>
      <w:r w:rsidR="0024074B">
        <w:rPr>
          <w:rFonts w:cs="Times New Roman"/>
        </w:rPr>
        <w:br/>
      </w:r>
      <w:r w:rsidR="00854157">
        <w:rPr>
          <w:rFonts w:cs="Times New Roman"/>
        </w:rPr>
        <w:t>z Radkowic.</w:t>
      </w:r>
    </w:p>
    <w:p w14:paraId="100701EE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77E1D2C3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2D5F71BC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419B0C8B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743D02C4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63A003F9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0CC56185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0B3ADAAD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6BE3CA87" w14:textId="77777777" w:rsidR="00E24CF9" w:rsidRDefault="00E24CF9" w:rsidP="00A17B3E">
      <w:pPr>
        <w:widowControl/>
        <w:spacing w:line="276" w:lineRule="auto"/>
        <w:jc w:val="both"/>
        <w:rPr>
          <w:rFonts w:cs="Times New Roman"/>
        </w:rPr>
      </w:pPr>
    </w:p>
    <w:p w14:paraId="0BDC6BE4" w14:textId="79A2CDC5" w:rsidR="00A17B3E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Informacj</w:t>
      </w:r>
      <w:r w:rsidR="00AF0114">
        <w:rPr>
          <w:rFonts w:cs="Times New Roman"/>
          <w:b/>
          <w:bCs/>
        </w:rPr>
        <w:t>e o obiekcie</w:t>
      </w:r>
    </w:p>
    <w:p w14:paraId="37C0D441" w14:textId="77777777" w:rsidR="00104ECC" w:rsidRDefault="00E24CF9" w:rsidP="00E24CF9">
      <w:pPr>
        <w:widowControl/>
        <w:numPr>
          <w:ilvl w:val="3"/>
          <w:numId w:val="3"/>
        </w:numPr>
        <w:spacing w:line="276" w:lineRule="auto"/>
        <w:ind w:left="714" w:hanging="357"/>
        <w:jc w:val="both"/>
        <w:rPr>
          <w:rFonts w:eastAsia="Times New Roman"/>
        </w:rPr>
      </w:pPr>
      <w:r w:rsidRPr="00E24CF9">
        <w:rPr>
          <w:rFonts w:eastAsia="Times New Roman"/>
          <w:b/>
        </w:rPr>
        <w:t>Karawan MWK 7320</w:t>
      </w:r>
      <w:r w:rsidRPr="00E24CF9">
        <w:rPr>
          <w:rFonts w:eastAsia="Times New Roman"/>
        </w:rPr>
        <w:t xml:space="preserve"> – </w:t>
      </w:r>
      <w:r w:rsidR="00104ECC" w:rsidRPr="00104ECC">
        <w:rPr>
          <w:rFonts w:eastAsia="Times New Roman"/>
        </w:rPr>
        <w:t>Pogrzebowy pojazd paradny, Pojazd czterokołowy z bogatą zdobioną dekoracją snycerską. Skrzynia karawanu przeszklona. W dłuższych bokach trójdzielna. Siedzisko woźnicy z dwoma metalowymi podłokietnikami, tapicerowane czarnym aksamitem, zdobione frędzlami. Wewnątrz skrzyni lambrekin z frędzli oraz wykończenia z czarnego aksamitu. Zarówno plecy siedziska od strony woźnicy jak i skrzynia karawanu zwieńczone zdobioną dekoracją snycerską w formie akantowego fryzu oraz przedstawień aniołów na tle roślinnych ornamentów.</w:t>
      </w:r>
    </w:p>
    <w:p w14:paraId="19316F50" w14:textId="70BF95A1" w:rsidR="00104ECC" w:rsidRDefault="00104ECC" w:rsidP="00104ECC">
      <w:pPr>
        <w:widowControl/>
        <w:spacing w:line="276" w:lineRule="auto"/>
        <w:ind w:left="714"/>
        <w:jc w:val="both"/>
        <w:rPr>
          <w:rFonts w:eastAsia="Times New Roman"/>
        </w:rPr>
      </w:pPr>
      <w:r w:rsidRPr="00104ECC">
        <w:rPr>
          <w:rFonts w:eastAsia="Times New Roman"/>
          <w:b/>
          <w:bCs/>
        </w:rPr>
        <w:t>Stan zachowania</w:t>
      </w:r>
      <w:r w:rsidRPr="00104ECC">
        <w:rPr>
          <w:rFonts w:eastAsia="Times New Roman"/>
        </w:rPr>
        <w:t>: Bardzo zły. Powierzchnia silnie zabrudzona z licznymi ubytkami i spękaniami. Miejscowe ślady żerowisk ksylofagów. Warstwa malarska łuszczy się i odspaja. Konstrukcja niestabilna. Obiekt o niestabilnej konstrukcji, uszkodzone koło. Liczne ubytki w dekoracji snycerskiej. Elementy metalowe z ogniskami rdzy. Brak tafli szklanych w części nadwozia.  Tkaniny przedarte z ubytkami i przedarciami.</w:t>
      </w:r>
    </w:p>
    <w:p w14:paraId="5EB8942B" w14:textId="5240C0CE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104ECC">
        <w:rPr>
          <w:rFonts w:eastAsia="Times New Roman"/>
          <w:b/>
        </w:rPr>
        <w:t>Datowanie:</w:t>
      </w:r>
      <w:r w:rsidRPr="00E24CF9">
        <w:rPr>
          <w:rFonts w:eastAsia="Times New Roman"/>
        </w:rPr>
        <w:t xml:space="preserve"> pp. XIX/XXw. </w:t>
      </w:r>
    </w:p>
    <w:p w14:paraId="61A34ECF" w14:textId="77777777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104ECC">
        <w:rPr>
          <w:rFonts w:eastAsia="Times New Roman"/>
          <w:b/>
        </w:rPr>
        <w:t>Miejsce powstania:</w:t>
      </w:r>
      <w:r w:rsidRPr="00E24CF9">
        <w:rPr>
          <w:rFonts w:eastAsia="Times New Roman"/>
        </w:rPr>
        <w:t xml:space="preserve"> Polska, Woj. Kieleckie- Wiślica </w:t>
      </w:r>
    </w:p>
    <w:p w14:paraId="6BA9B27D" w14:textId="77777777" w:rsidR="00E24CF9" w:rsidRPr="00104ECC" w:rsidRDefault="00E24CF9" w:rsidP="00E24CF9">
      <w:pPr>
        <w:widowControl/>
        <w:spacing w:line="276" w:lineRule="auto"/>
        <w:ind w:left="714"/>
        <w:jc w:val="both"/>
        <w:rPr>
          <w:rFonts w:eastAsia="Times New Roman"/>
          <w:b/>
        </w:rPr>
      </w:pPr>
      <w:r w:rsidRPr="00104ECC">
        <w:rPr>
          <w:rFonts w:eastAsia="Times New Roman"/>
          <w:b/>
        </w:rPr>
        <w:t xml:space="preserve">Wymiary: </w:t>
      </w:r>
    </w:p>
    <w:p w14:paraId="1CDD9947" w14:textId="77777777" w:rsidR="00E24CF9" w:rsidRPr="00E24CF9" w:rsidRDefault="00E24CF9" w:rsidP="00E24CF9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E24CF9">
        <w:rPr>
          <w:rFonts w:eastAsia="Times New Roman"/>
        </w:rPr>
        <w:t xml:space="preserve">wys. całk. 2,54m, </w:t>
      </w:r>
    </w:p>
    <w:p w14:paraId="013A4C6D" w14:textId="7C4DF28F" w:rsidR="00E24CF9" w:rsidRPr="00E24CF9" w:rsidRDefault="00E24CF9" w:rsidP="00E24CF9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E24CF9">
        <w:rPr>
          <w:rFonts w:eastAsia="Times New Roman"/>
        </w:rPr>
        <w:t xml:space="preserve">dł. całk. 4,57m. </w:t>
      </w:r>
    </w:p>
    <w:p w14:paraId="555F59E0" w14:textId="3237D1B9" w:rsidR="00E24CF9" w:rsidRPr="00E24CF9" w:rsidRDefault="00E24CF9" w:rsidP="00E24CF9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E24CF9">
        <w:rPr>
          <w:rFonts w:eastAsia="Times New Roman"/>
        </w:rPr>
        <w:t xml:space="preserve">rozst. prz. kół 121 cm. </w:t>
      </w:r>
    </w:p>
    <w:p w14:paraId="6E292190" w14:textId="0F0EF16F" w:rsidR="00E24CF9" w:rsidRPr="00E24CF9" w:rsidRDefault="00E24CF9" w:rsidP="00E24CF9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E24CF9">
        <w:rPr>
          <w:rFonts w:eastAsia="Times New Roman"/>
        </w:rPr>
        <w:t xml:space="preserve">rozst. tyl. Kół 218,5 cm </w:t>
      </w:r>
    </w:p>
    <w:p w14:paraId="220404EE" w14:textId="641F0EB7" w:rsidR="00E24CF9" w:rsidRPr="00E24CF9" w:rsidRDefault="00E24CF9" w:rsidP="00E24CF9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="Times New Roman"/>
        </w:rPr>
      </w:pPr>
      <w:r w:rsidRPr="00E24CF9">
        <w:rPr>
          <w:rFonts w:eastAsia="Times New Roman"/>
        </w:rPr>
        <w:t xml:space="preserve">dł. pudła 2,45 cm szer. pudła 123 cm </w:t>
      </w:r>
    </w:p>
    <w:p w14:paraId="52DCAB95" w14:textId="31EC892B" w:rsidR="00A17B3E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E24CF9">
        <w:rPr>
          <w:rFonts w:eastAsia="Times New Roman"/>
          <w:b/>
        </w:rPr>
        <w:t>Materiał:</w:t>
      </w:r>
      <w:r>
        <w:rPr>
          <w:rFonts w:eastAsia="Times New Roman"/>
        </w:rPr>
        <w:t xml:space="preserve"> drewno, stal, tkanina, szkło</w:t>
      </w:r>
    </w:p>
    <w:p w14:paraId="54EF8D94" w14:textId="77777777" w:rsidR="00854157" w:rsidRDefault="00854157" w:rsidP="00E24CF9">
      <w:pPr>
        <w:widowControl/>
        <w:spacing w:line="276" w:lineRule="auto"/>
        <w:ind w:left="714"/>
        <w:jc w:val="both"/>
        <w:rPr>
          <w:rFonts w:eastAsia="Times New Roman"/>
          <w:b/>
        </w:rPr>
      </w:pPr>
    </w:p>
    <w:p w14:paraId="63A74760" w14:textId="77777777" w:rsidR="00E24CF9" w:rsidRP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  <w:b/>
        </w:rPr>
      </w:pPr>
      <w:r w:rsidRPr="00E24CF9">
        <w:rPr>
          <w:rFonts w:eastAsia="Times New Roman"/>
          <w:b/>
        </w:rPr>
        <w:t xml:space="preserve">Opis: </w:t>
      </w:r>
    </w:p>
    <w:p w14:paraId="38CA65B8" w14:textId="77777777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E24CF9">
        <w:rPr>
          <w:rFonts w:eastAsia="Times New Roman"/>
          <w:b/>
        </w:rPr>
        <w:t>Karawan-</w:t>
      </w:r>
      <w:r w:rsidRPr="00E24CF9">
        <w:rPr>
          <w:rFonts w:eastAsia="Times New Roman"/>
        </w:rPr>
        <w:t xml:space="preserve"> pojazd zaprzęgowy, dwukonny, czterokołowy, resorowany. Podwozie stalowe, skrzynia drewniana, przeszklona, zdobiona bogatą dekoracją rzeźbiarską. </w:t>
      </w:r>
    </w:p>
    <w:p w14:paraId="03F8A82E" w14:textId="47AD0C99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104ECC">
        <w:rPr>
          <w:rFonts w:eastAsia="Times New Roman"/>
          <w:b/>
        </w:rPr>
        <w:t>Podwozie-</w:t>
      </w:r>
      <w:r w:rsidRPr="00E24CF9">
        <w:rPr>
          <w:rFonts w:eastAsia="Times New Roman"/>
        </w:rPr>
        <w:t xml:space="preserve"> o konstrukcji sworzniowej, stalowe z okrągłym, pełnym wieńcem skrętowym. Resorowanie na cztery koła. W przodzie pełne, poziome resory epileptyczne. Tył resorowany systemem złożonym z niepełnych resorów eliptycznych i resora poprzecznego. Koła nierównej wielkości, tylne nieco większe, szprychowe, o obwodach stalowych. Szprychy drewniane osadzone w stalowych tulejach. Osie patentowe / Collingea / stalowe, kute. Zawieszenie przymocowane do skrzyni masywnymi stalowymi szynami / śruby/. Dyszel / wtórny / krótki, wykonany z rury stalowej. Przy dyszlu zawieszone na skórzanych pasach dwa drewniane, okute orczyki. Kozioł stangrecki wysoli, w formie ściętego, zwężajacego się ku górze graniastosłupa z szeroką platformą na nogi. Ściana przednia platformy wysoka, ułożona ukośnie. Całość obita czarnym aksamitem. Poręcze boczne w formie poziomych mosiężnych rurek zawieszonych między drewnianymi, tralkowatymi wspornikami. Rurki zakończone ozdobnymi, mosiężnymi gałkami / brak jednej /, dwustronnie. Przy krawędziach górnych kozła długie, ozdobne frędzle. </w:t>
      </w:r>
    </w:p>
    <w:p w14:paraId="11D295D4" w14:textId="77777777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E24CF9">
        <w:rPr>
          <w:rFonts w:eastAsia="Times New Roman"/>
          <w:b/>
        </w:rPr>
        <w:t>Nadwozie –</w:t>
      </w:r>
      <w:r w:rsidRPr="00E24CF9">
        <w:rPr>
          <w:rFonts w:eastAsia="Times New Roman"/>
        </w:rPr>
        <w:t xml:space="preserve"> w formie wydłużonego, wysokiego prostopadłościanu zamkniętego górą linią wklęsło – wypukłą. Wszystkie cztery ściany przeszklone. Szyba przednia i tylna o kwaterach prostokątnych. Tylna rama podnoszona do góry, umocowana na zawiasach taśmowych, zaopatrzona w nożycowe wsporniki przymocowane do ścian bocznych/ w połowie wysoko. Na listwie dolnej metalowy uchwyt z obrotowym zamkiem. Ściany boczne podzielone listwami na trzy kwatery. Środkowa szeroka, zamknięta łukiem wklęsło – wypukłym, boczne wąskie zamknięte łukami wklęsłymi. Szyby bezbarwne, przezroczyste, umieszczone w gumowych uszczelkach. Podstawa skrzyni ujęta masywnym, czterostopniowym cokołem. Całe pudło/ listwy podziałów pionowych ścian, zwieńczenia, fartuchy/. zdobione bogatą dekoracją rzeźbiarską o motywach roślinno – figuralnych w typie klasycyzującego baroku. Ponadto skrzynia ozdobiona kutymi, stalowymi uchwytami do latarń / przymocowane do przednich, górnych naroży, za </w:t>
      </w:r>
      <w:r w:rsidRPr="00E24CF9">
        <w:rPr>
          <w:rFonts w:eastAsia="Times New Roman"/>
        </w:rPr>
        <w:lastRenderedPageBreak/>
        <w:t xml:space="preserve">kozłem w formie spiralnie skręconych, ulistnionych łodyg z czreropłatkowym kwiatem zakończonym tulejami. Do resorów tylnych przymocowane podobne w formie wolutowo skręcone dekoracje pasowe z kwiatami. </w:t>
      </w:r>
    </w:p>
    <w:p w14:paraId="54C931BB" w14:textId="56CAA434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E24CF9">
        <w:rPr>
          <w:rFonts w:eastAsia="Times New Roman"/>
          <w:b/>
        </w:rPr>
        <w:t>Dekoracja rzeźbiarska –</w:t>
      </w:r>
      <w:r w:rsidRPr="00E24CF9">
        <w:rPr>
          <w:rFonts w:eastAsia="Times New Roman"/>
        </w:rPr>
        <w:t xml:space="preserve"> listwy narożne, pionowe – szerokie w cz. górnej i dolnej zakończone wolutowymi liśćmi mięsistego akantu, wypełnione ciągłym ornamentem roślinnym. Listwy dzielące kwatery wypełnione ornamentem roślinnym – wolutowo skręcone liście akantu. Wokół samych szyb ramki zdobione ornamentem astralgalu. Wokół całej skrzyni, przymocowany do cokołu fartuch o zróżnicowanej formie. </w:t>
      </w:r>
    </w:p>
    <w:p w14:paraId="370519CA" w14:textId="77777777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E24CF9">
        <w:rPr>
          <w:rFonts w:eastAsia="Times New Roman"/>
          <w:b/>
        </w:rPr>
        <w:t>Fartuch przedni –</w:t>
      </w:r>
      <w:r w:rsidRPr="00E24CF9">
        <w:rPr>
          <w:rFonts w:eastAsia="Times New Roman"/>
        </w:rPr>
        <w:t xml:space="preserve"> ażurowy, ornament roślinny, plastyczny – liście mięsistego akantu wolutowe i esowate.</w:t>
      </w:r>
    </w:p>
    <w:p w14:paraId="2FB9C1E4" w14:textId="7B4B5D58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  <w:r w:rsidRPr="00E24CF9">
        <w:rPr>
          <w:rFonts w:eastAsia="Times New Roman"/>
          <w:b/>
        </w:rPr>
        <w:t>Fartuch tylny –</w:t>
      </w:r>
      <w:r w:rsidRPr="00E24CF9">
        <w:rPr>
          <w:rFonts w:eastAsia="Times New Roman"/>
        </w:rPr>
        <w:t xml:space="preserve"> ornament roślinny – akant / płaskorzeźbiony / ponad główka aniołka z szeroko rozłożonymi skrzydłami. Fartuchy boczne – ornament roślinno -kwiatowy, płaszczyznowy, płaskorzeźbiony – mięsisty akant z pięciopłatkowymi kwiatami. Zwieńczenia przednie- centralny kartusz roślinny podtrzymywany przez dwa półleżące, uskrzydlone aniołki i akant. Zwieńczenia sian bocznych- ponad kwaterą środkową rozbudowany kartusz roślinny z motywem kosza obfitości. Po bokach postaci półleżących, uskrzydlonych aniołków w otoczeniu ornamentu roślinnego / po jednej stronie brak główki jednego z aniołków, po drugiej obu/. Wewnątrz skrzyni prostokątny wózek do przesuwania trumny z ozdobnym cokołem zdobionym motywem liścia akantu, zaopatrzony w stalowe rolki. W podłodze stalowa listwa prowadnicy i dwie boczne listwy drewniane / tor jazdy dla rolek/ . Pod sufitem przybity lambrekin z czarnego aksamitu obszyty frędzlami. Całość skrzyni malowana czarną olejną farbą/wiele warstw /. Karawan pochodzi z przełomu XIX / XX w. /konstrukcja podwozia, ornament histor. /.</w:t>
      </w:r>
    </w:p>
    <w:p w14:paraId="4EA51F97" w14:textId="77777777" w:rsidR="00E24CF9" w:rsidRDefault="00E24CF9" w:rsidP="00E24CF9">
      <w:pPr>
        <w:widowControl/>
        <w:spacing w:line="276" w:lineRule="auto"/>
        <w:ind w:left="714"/>
        <w:jc w:val="both"/>
        <w:rPr>
          <w:rFonts w:eastAsia="Times New Roman"/>
        </w:rPr>
      </w:pPr>
    </w:p>
    <w:p w14:paraId="16773B53" w14:textId="77777777" w:rsidR="00A17B3E" w:rsidRPr="001A1893" w:rsidRDefault="00A17B3E" w:rsidP="00A17B3E">
      <w:pPr>
        <w:widowControl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b/>
          <w:bCs/>
        </w:rPr>
      </w:pPr>
      <w:r w:rsidRPr="001A1893">
        <w:rPr>
          <w:rFonts w:cs="Times New Roman"/>
          <w:b/>
          <w:bCs/>
        </w:rPr>
        <w:t>Kody CPV</w:t>
      </w:r>
    </w:p>
    <w:p w14:paraId="772B9AB8" w14:textId="4016356D" w:rsidR="00A17B3E" w:rsidRPr="00FF6644" w:rsidRDefault="00A17B3E" w:rsidP="00A17B3E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 xml:space="preserve">CPV: </w:t>
      </w:r>
      <w:r w:rsidR="005F5E2F" w:rsidRPr="005F5E2F">
        <w:rPr>
          <w:rFonts w:cs="Times New Roman"/>
        </w:rPr>
        <w:t>92311000-4</w:t>
      </w:r>
      <w:r w:rsidRPr="00FF6644">
        <w:rPr>
          <w:rFonts w:cs="Times New Roman"/>
        </w:rPr>
        <w:t xml:space="preserve"> – </w:t>
      </w:r>
      <w:r w:rsidR="005F5E2F">
        <w:rPr>
          <w:rFonts w:cs="Times New Roman"/>
        </w:rPr>
        <w:t>Dzieła sztuki</w:t>
      </w:r>
      <w:r w:rsidRPr="00FF6644">
        <w:rPr>
          <w:rFonts w:cs="Times New Roman"/>
        </w:rPr>
        <w:t xml:space="preserve">; </w:t>
      </w:r>
    </w:p>
    <w:p w14:paraId="5EDB6E31" w14:textId="67B49FF9" w:rsidR="00A17B3E" w:rsidRPr="00FF6644" w:rsidRDefault="00A17B3E" w:rsidP="00A17B3E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 xml:space="preserve">CPV: </w:t>
      </w:r>
      <w:r w:rsidR="005F5E2F" w:rsidRPr="005F5E2F">
        <w:rPr>
          <w:rFonts w:cs="Times New Roman"/>
        </w:rPr>
        <w:t>92312000-1</w:t>
      </w:r>
      <w:r w:rsidR="005F5E2F">
        <w:rPr>
          <w:rFonts w:cs="Times New Roman"/>
        </w:rPr>
        <w:t xml:space="preserve"> – </w:t>
      </w:r>
      <w:r w:rsidR="005F5E2F" w:rsidRPr="005F5E2F">
        <w:rPr>
          <w:rFonts w:cs="Times New Roman"/>
        </w:rPr>
        <w:t>Usługi</w:t>
      </w:r>
      <w:r w:rsidR="005F5E2F">
        <w:rPr>
          <w:rFonts w:cs="Times New Roman"/>
        </w:rPr>
        <w:t xml:space="preserve"> </w:t>
      </w:r>
      <w:r w:rsidR="005F5E2F" w:rsidRPr="005F5E2F">
        <w:rPr>
          <w:rFonts w:cs="Times New Roman"/>
        </w:rPr>
        <w:t>artystyczne</w:t>
      </w:r>
      <w:r w:rsidRPr="00FF6644">
        <w:rPr>
          <w:rFonts w:cs="Times New Roman"/>
        </w:rPr>
        <w:t>,</w:t>
      </w:r>
    </w:p>
    <w:p w14:paraId="344CF9E9" w14:textId="55D0EB55" w:rsidR="00A73275" w:rsidRDefault="00A17B3E" w:rsidP="00E24CF9">
      <w:pPr>
        <w:widowControl/>
        <w:spacing w:line="276" w:lineRule="auto"/>
        <w:jc w:val="both"/>
        <w:rPr>
          <w:rFonts w:cs="Times New Roman"/>
        </w:rPr>
      </w:pPr>
      <w:r w:rsidRPr="00FF6644">
        <w:rPr>
          <w:rFonts w:cs="Times New Roman"/>
        </w:rPr>
        <w:t xml:space="preserve">CPV: </w:t>
      </w:r>
      <w:r w:rsidR="005F5E2F" w:rsidRPr="005F5E2F">
        <w:rPr>
          <w:rFonts w:cs="Times New Roman"/>
        </w:rPr>
        <w:t>92522100-7</w:t>
      </w:r>
      <w:r w:rsidR="005F5E2F">
        <w:rPr>
          <w:rFonts w:cs="Times New Roman"/>
        </w:rPr>
        <w:t xml:space="preserve"> – </w:t>
      </w:r>
      <w:r w:rsidR="005F5E2F" w:rsidRPr="005F5E2F">
        <w:rPr>
          <w:rFonts w:cs="Times New Roman"/>
        </w:rPr>
        <w:t>Usługi</w:t>
      </w:r>
      <w:r w:rsidR="005F5E2F">
        <w:rPr>
          <w:rFonts w:cs="Times New Roman"/>
        </w:rPr>
        <w:t xml:space="preserve"> </w:t>
      </w:r>
      <w:r w:rsidR="005F5E2F" w:rsidRPr="005F5E2F">
        <w:rPr>
          <w:rFonts w:cs="Times New Roman"/>
        </w:rPr>
        <w:t>ochrony obiektów historycznych</w:t>
      </w:r>
      <w:r w:rsidR="00685A92">
        <w:rPr>
          <w:rFonts w:cs="Times New Roman"/>
        </w:rPr>
        <w:t>;</w:t>
      </w:r>
    </w:p>
    <w:p w14:paraId="0AF66B4C" w14:textId="4EB4CBAA" w:rsidR="005F5E2F" w:rsidRDefault="005F5E2F" w:rsidP="00E24CF9">
      <w:pPr>
        <w:widowControl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CPV: </w:t>
      </w:r>
      <w:r w:rsidRPr="005F5E2F">
        <w:rPr>
          <w:rFonts w:cs="Times New Roman"/>
        </w:rPr>
        <w:t>98300000-6</w:t>
      </w:r>
      <w:r>
        <w:rPr>
          <w:rFonts w:cs="Times New Roman"/>
        </w:rPr>
        <w:t xml:space="preserve"> – Różne usługi;</w:t>
      </w:r>
    </w:p>
    <w:p w14:paraId="6C95ED12" w14:textId="1ECA4C48" w:rsidR="005F5E2F" w:rsidRDefault="00685A92" w:rsidP="00E24CF9">
      <w:pPr>
        <w:widowControl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CPV: </w:t>
      </w:r>
      <w:r w:rsidRPr="00685A92">
        <w:rPr>
          <w:rFonts w:cs="Times New Roman"/>
        </w:rPr>
        <w:t>92312250-8</w:t>
      </w:r>
      <w:r>
        <w:rPr>
          <w:rFonts w:cs="Times New Roman"/>
        </w:rPr>
        <w:t xml:space="preserve"> – Usługi </w:t>
      </w:r>
      <w:r w:rsidRPr="00685A92">
        <w:rPr>
          <w:rFonts w:cs="Times New Roman"/>
        </w:rPr>
        <w:t>świadczone przez indywidualnych artystów</w:t>
      </w:r>
      <w:r>
        <w:rPr>
          <w:rFonts w:cs="Times New Roman"/>
        </w:rPr>
        <w:t>;</w:t>
      </w:r>
    </w:p>
    <w:p w14:paraId="6327882C" w14:textId="51DD23BF" w:rsidR="00685A92" w:rsidRPr="00E24CF9" w:rsidRDefault="00685A92" w:rsidP="00E24CF9">
      <w:pPr>
        <w:widowControl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CPV: </w:t>
      </w:r>
      <w:r w:rsidRPr="00685A92">
        <w:rPr>
          <w:rFonts w:cs="Times New Roman"/>
        </w:rPr>
        <w:t>92520000-2</w:t>
      </w:r>
      <w:r>
        <w:rPr>
          <w:rFonts w:cs="Times New Roman"/>
        </w:rPr>
        <w:t xml:space="preserve"> – Usługi </w:t>
      </w:r>
      <w:r w:rsidRPr="00685A92">
        <w:rPr>
          <w:rFonts w:cs="Times New Roman"/>
        </w:rPr>
        <w:t>świadczone przez muzea i w zakresie ochrony obiektów i budynków zabytkowych</w:t>
      </w:r>
      <w:r>
        <w:rPr>
          <w:rFonts w:cs="Times New Roman"/>
        </w:rPr>
        <w:t>.</w:t>
      </w:r>
    </w:p>
    <w:sectPr w:rsidR="00685A92" w:rsidRPr="00E2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56BD2" w14:textId="77777777" w:rsidR="00B93788" w:rsidRDefault="00B93788" w:rsidP="00380740">
      <w:r>
        <w:separator/>
      </w:r>
    </w:p>
  </w:endnote>
  <w:endnote w:type="continuationSeparator" w:id="0">
    <w:p w14:paraId="58183EB3" w14:textId="77777777" w:rsidR="00B93788" w:rsidRDefault="00B93788" w:rsidP="0038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2C300" w14:textId="77777777" w:rsidR="00B93788" w:rsidRDefault="00B93788" w:rsidP="00380740">
      <w:r>
        <w:separator/>
      </w:r>
    </w:p>
  </w:footnote>
  <w:footnote w:type="continuationSeparator" w:id="0">
    <w:p w14:paraId="36C34BA0" w14:textId="77777777" w:rsidR="00B93788" w:rsidRDefault="00B93788" w:rsidP="0038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978"/>
    <w:multiLevelType w:val="hybridMultilevel"/>
    <w:tmpl w:val="DBC4901A"/>
    <w:lvl w:ilvl="0" w:tplc="40128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3EF"/>
    <w:multiLevelType w:val="hybridMultilevel"/>
    <w:tmpl w:val="EA648CCC"/>
    <w:lvl w:ilvl="0" w:tplc="1570F0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12687E46">
      <w:start w:val="1"/>
      <w:numFmt w:val="lowerLetter"/>
      <w:lvlText w:val="%2)"/>
      <w:lvlJc w:val="left"/>
      <w:pPr>
        <w:ind w:left="1437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C556AF0"/>
    <w:multiLevelType w:val="hybridMultilevel"/>
    <w:tmpl w:val="6C72C256"/>
    <w:lvl w:ilvl="0" w:tplc="27DA20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830446A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402C9"/>
    <w:multiLevelType w:val="multilevel"/>
    <w:tmpl w:val="23D64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B5079AE"/>
    <w:multiLevelType w:val="hybridMultilevel"/>
    <w:tmpl w:val="9C0E6CD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4317245"/>
    <w:multiLevelType w:val="hybridMultilevel"/>
    <w:tmpl w:val="3D3CAE0E"/>
    <w:lvl w:ilvl="0" w:tplc="4336CE2A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7FAE0CEB"/>
    <w:multiLevelType w:val="hybridMultilevel"/>
    <w:tmpl w:val="33164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5C14DD88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CB200508">
      <w:start w:val="1"/>
      <w:numFmt w:val="decimal"/>
      <w:lvlText w:val="%3)"/>
      <w:lvlJc w:val="left"/>
      <w:rPr>
        <w:rFonts w:hint="default"/>
        <w:color w:val="000000"/>
      </w:rPr>
    </w:lvl>
    <w:lvl w:ilvl="3" w:tplc="02FE3636">
      <w:start w:val="1"/>
      <w:numFmt w:val="lowerLetter"/>
      <w:lvlText w:val="%4)"/>
      <w:lvlJc w:val="left"/>
      <w:pPr>
        <w:ind w:left="2880" w:hanging="360"/>
      </w:pPr>
      <w:rPr>
        <w:rFonts w:ascii="Arial Narrow" w:hAnsi="Arial Narro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3"/>
    <w:rsid w:val="000C0617"/>
    <w:rsid w:val="00104ECC"/>
    <w:rsid w:val="001C3C93"/>
    <w:rsid w:val="0024074B"/>
    <w:rsid w:val="00276330"/>
    <w:rsid w:val="00380740"/>
    <w:rsid w:val="003C371D"/>
    <w:rsid w:val="004E17CE"/>
    <w:rsid w:val="005F5E2F"/>
    <w:rsid w:val="00685A92"/>
    <w:rsid w:val="00854157"/>
    <w:rsid w:val="008A68F7"/>
    <w:rsid w:val="009A7169"/>
    <w:rsid w:val="00A17B3E"/>
    <w:rsid w:val="00A73275"/>
    <w:rsid w:val="00AF0114"/>
    <w:rsid w:val="00B65ACB"/>
    <w:rsid w:val="00B93788"/>
    <w:rsid w:val="00CB2368"/>
    <w:rsid w:val="00CB3666"/>
    <w:rsid w:val="00D166F7"/>
    <w:rsid w:val="00D6306F"/>
    <w:rsid w:val="00E24CF9"/>
    <w:rsid w:val="00EB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A3AD"/>
  <w15:chartTrackingRefBased/>
  <w15:docId w15:val="{16CAF373-4987-47C7-BD99-A407C18A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3E"/>
    <w:pPr>
      <w:widowControl w:val="0"/>
      <w:spacing w:after="0" w:line="240" w:lineRule="auto"/>
    </w:pPr>
    <w:rPr>
      <w:rFonts w:ascii="Arial Narrow" w:eastAsia="Calibri" w:hAnsi="Arial Narrow" w:cs="Calibri"/>
      <w:kern w:val="22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7B3E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Calibri"/>
      <w:color w:val="000000"/>
      <w:kern w:val="22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807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740"/>
    <w:rPr>
      <w:rFonts w:ascii="Arial Narrow" w:eastAsia="Calibri" w:hAnsi="Arial Narrow" w:cs="Calibri"/>
      <w:kern w:val="22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807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740"/>
    <w:rPr>
      <w:rFonts w:ascii="Arial Narrow" w:eastAsia="Calibri" w:hAnsi="Arial Narrow" w:cs="Calibri"/>
      <w:kern w:val="22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A68F7"/>
    <w:pPr>
      <w:ind w:left="720"/>
      <w:contextualSpacing/>
    </w:pPr>
  </w:style>
  <w:style w:type="paragraph" w:customStyle="1" w:styleId="Standard">
    <w:name w:val="Standard"/>
    <w:rsid w:val="00D166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Marcin Konopka</cp:lastModifiedBy>
  <cp:revision>13</cp:revision>
  <dcterms:created xsi:type="dcterms:W3CDTF">2023-03-14T10:30:00Z</dcterms:created>
  <dcterms:modified xsi:type="dcterms:W3CDTF">2024-04-16T10:22:00Z</dcterms:modified>
</cp:coreProperties>
</file>